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pacing w:lineRule="auto" w:line="240" w:before="119" w:after="0"/>
        <w:jc w:val="center"/>
        <w:textAlignment w:val="auto"/>
        <w:rPr>
          <w:rFonts w:ascii="Calibri" w:hAnsi="Calibri" w:cs="Calibri"/>
          <w:color w:val="0000B0"/>
          <w:sz w:val="28"/>
          <w:szCs w:val="28"/>
          <w:highlight w:val="white"/>
          <w:lang w:val="en-US" w:eastAsia="en-US"/>
        </w:rPr>
      </w:pPr>
      <w:bookmarkStart w:id="0" w:name="__DdeLink__239_4163608625"/>
      <w:r>
        <w:rPr>
          <w:rFonts w:cs="Calibri" w:ascii="Calibri" w:hAnsi="Calibri"/>
          <w:color w:val="0000B0"/>
          <w:sz w:val="28"/>
          <w:szCs w:val="28"/>
          <w:highlight w:val="white"/>
          <w:lang w:val="en-US" w:eastAsia="en-US"/>
        </w:rPr>
        <w:t>MÜHİM BİR DÜSTUR</w:t>
      </w:r>
      <w:bookmarkEnd w:id="0"/>
    </w:p>
    <w:p>
      <w:pPr>
        <w:pStyle w:val="Normal"/>
        <w:overflowPunct w:val="true"/>
        <w:spacing w:lineRule="auto" w:line="240" w:before="119" w:after="0"/>
        <w:jc w:val="center"/>
        <w:textAlignment w:val="auto"/>
        <w:rPr>
          <w:rFonts w:ascii="Calibri" w:hAnsi="Calibri" w:cs="Calibri"/>
          <w:color w:val="FF0000"/>
          <w:sz w:val="28"/>
          <w:szCs w:val="28"/>
          <w:highlight w:val="white"/>
          <w:lang w:val="en-US" w:eastAsia="en-US"/>
        </w:rPr>
      </w:pP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  <w:lang w:val="en-US" w:eastAsia="en-US"/>
        </w:rPr>
        <w:t>وَ بِهِ نَسْتَعِينُ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Rüştü ağabeyimizin Zübeyir ağabeyden O’nun da Hz. Üstaddan aldığı bir dersi nazar-ı dikkatinize arz etmek isterim. Şöyle ki; </w:t>
      </w:r>
      <w:r>
        <w:rPr>
          <w:rFonts w:cs="Calibri" w:ascii="Calibri" w:hAnsi="Calibri"/>
          <w:b/>
          <w:bCs/>
          <w:sz w:val="24"/>
          <w:szCs w:val="24"/>
        </w:rPr>
        <w:t xml:space="preserve">okunan bir risale beraberliğinde fon müziği dinlemek, güzel bir manayı süslü bir çerçeveyle çerçevelemek, </w:t>
      </w:r>
      <w:r>
        <w:rPr>
          <w:rFonts w:cs="Calibri" w:ascii="Calibri" w:hAnsi="Calibri"/>
          <w:b/>
          <w:bCs/>
          <w:sz w:val="24"/>
          <w:szCs w:val="24"/>
          <w:u w:val="single"/>
        </w:rPr>
        <w:t>yazılara süs ve şekiller koymak</w:t>
      </w:r>
      <w:r>
        <w:rPr>
          <w:rFonts w:cs="Calibri" w:ascii="Calibri" w:hAnsi="Calibri"/>
          <w:sz w:val="24"/>
          <w:szCs w:val="24"/>
          <w:u w:val="single"/>
        </w:rPr>
        <w:t>,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u w:val="single"/>
        </w:rPr>
        <w:t>dikkati kendine çeker, asıl maksad kapanır</w:t>
      </w:r>
      <w:r>
        <w:rPr>
          <w:rFonts w:cs="Calibri" w:ascii="Calibri" w:hAnsi="Calibri"/>
          <w:sz w:val="24"/>
          <w:szCs w:val="24"/>
        </w:rPr>
        <w:t>. Üstadımız bu gibi hallerin teceddüd meylinden, yani manaya varamadığından dikkati kendine çekmek için yeni yeni tarzların ortaya çıktığını Muhakemat eserinde şöyle nazara verir: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“</w:t>
      </w:r>
      <w:r>
        <w:rPr>
          <w:rFonts w:cs="Calibri" w:ascii="Calibri" w:hAnsi="Calibri"/>
          <w:sz w:val="24"/>
          <w:szCs w:val="24"/>
        </w:rPr>
        <w:t xml:space="preserve">Meyillerinden birisi; hayret verecek acib şeyleri görmeye ve göstermeye ve teceddüde ve icada olan meylidir. Buna binaen vakta beşer, nazar-ı sathî ile kâinat kaplarında ülfet kapağı altında olan gıda-yı ruhanîyi zevkedemediğinden kabı ve kapağı yalamakla usanmak ve kanaatsızlık ve hârikulâdeye meyil ve hayalâta iştihadan başka netice vermediğinden meyl-i hârikulâde ile ya teceddüd veya tervic için meyl-ül mübalağa tevellüd eder.” </w:t>
      </w:r>
      <w:r>
        <w:rPr>
          <w:rFonts w:cs="Calibri" w:ascii="Calibri" w:hAnsi="Calibri"/>
          <w:b/>
          <w:bCs/>
          <w:sz w:val="24"/>
          <w:szCs w:val="24"/>
        </w:rPr>
        <w:t>Muhakemat (50)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“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Selefin zevklerine giden çok kelimatı veya hikâyatı veya hayalâtı veya maâni, ihtiyar ve </w:t>
      </w:r>
      <w:r>
        <w:rPr>
          <w:rFonts w:cs="Calibri" w:ascii="Calibri" w:hAnsi="Calibri"/>
          <w:b/>
          <w:bCs/>
          <w:sz w:val="24"/>
          <w:szCs w:val="24"/>
          <w:u w:val="single"/>
        </w:rPr>
        <w:t>zînetsiz olduklarından</w:t>
      </w:r>
      <w:r>
        <w:rPr>
          <w:rFonts w:cs="Calibri" w:ascii="Calibri" w:hAnsi="Calibri"/>
          <w:b/>
          <w:bCs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halefin heves-i şebabanelerine tevafuk etmediklerinden meyl-i teceddüde ve fikr-i icada ve cür'et-i tağyire sebeb olmuşlardır.” </w:t>
      </w:r>
      <w:r>
        <w:rPr>
          <w:rFonts w:cs="Calibri" w:ascii="Calibri" w:hAnsi="Calibri"/>
          <w:b/>
          <w:bCs/>
          <w:sz w:val="24"/>
          <w:szCs w:val="24"/>
        </w:rPr>
        <w:t>Muhakemat (26)</w:t>
      </w:r>
    </w:p>
    <w:p>
      <w:pPr>
        <w:pStyle w:val="Normal"/>
        <w:spacing w:before="130" w:after="0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“</w:t>
      </w:r>
      <w:r>
        <w:rPr>
          <w:rFonts w:cs="Calibri" w:ascii="Calibri" w:hAnsi="Calibri"/>
          <w:b w:val="false"/>
          <w:bCs w:val="false"/>
          <w:sz w:val="24"/>
          <w:szCs w:val="24"/>
        </w:rPr>
        <w:t>Kâmilîn insanların zevk-i maalîsini hoşnud eden bir halet, çocukça bir hevese, sefihçe bir tabiat sahibine hoş gelmez,</w:t>
      </w:r>
    </w:p>
    <w:p>
      <w:pPr>
        <w:pStyle w:val="Normal"/>
        <w:spacing w:before="130" w:after="0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Onları eğlendirmez. Bu hikmete binaen, bir zevk-i süflî, sefih, hem nefsî ve şehvanî içinde tam beslenmiş, zevk-i ruhîyi bilmez.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 xml:space="preserve">Avrupa'dan tereşşuh etmiş şu hazır edebiyat romanvari nazarla, Kur'anda olan </w:t>
      </w:r>
      <w:r>
        <w:rPr>
          <w:rFonts w:cs="Calibri" w:ascii="Calibri" w:hAnsi="Calibri"/>
          <w:b/>
          <w:bCs/>
          <w:sz w:val="24"/>
          <w:szCs w:val="24"/>
          <w:u w:val="single"/>
        </w:rPr>
        <w:t>letaif-i ulviyet,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 mezaya-yı haşmeti göremez, hem tadamaz.” </w:t>
      </w:r>
      <w:r>
        <w:rPr>
          <w:rFonts w:cs="Calibri" w:ascii="Calibri" w:hAnsi="Calibri"/>
          <w:b/>
          <w:bCs/>
          <w:sz w:val="24"/>
          <w:szCs w:val="24"/>
        </w:rPr>
        <w:t>Sözler (736)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“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Zannımca lafz ve nazım, san'atça cazibedar olsa, nazarı kendiyle meşgul eder. </w:t>
      </w:r>
      <w:r>
        <w:rPr>
          <w:rFonts w:cs="Calibri" w:ascii="Calibri" w:hAnsi="Calibri"/>
          <w:b/>
          <w:bCs/>
          <w:sz w:val="24"/>
          <w:szCs w:val="24"/>
          <w:u w:val="single"/>
        </w:rPr>
        <w:t>Nazarı manadan çevirmemek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 için perişan olması daha iyidir.” </w:t>
      </w:r>
      <w:r>
        <w:rPr>
          <w:rFonts w:cs="Calibri" w:ascii="Calibri" w:hAnsi="Calibri"/>
          <w:b/>
          <w:bCs/>
          <w:sz w:val="24"/>
          <w:szCs w:val="24"/>
        </w:rPr>
        <w:t>Sözler (694)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LibreOffice/6.3.3.2$Windows_X86_64 LibreOffice_project/a64200df03143b798afd1ec74a12ab50359878ed</Application>
  <Pages>1</Pages>
  <Words>241</Words>
  <Characters>1531</Characters>
  <CharactersWithSpaces>1763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3</cp:revision>
  <dcterms:created xsi:type="dcterms:W3CDTF">2019-06-06T11:26:00Z</dcterms:created>
  <dcterms:modified xsi:type="dcterms:W3CDTF">2019-11-25T23:32:19Z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